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B7B93">
        <w:rPr>
          <w:b/>
          <w:bCs/>
          <w:sz w:val="28"/>
          <w:szCs w:val="28"/>
        </w:rPr>
        <w:t>Петровского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145460">
        <w:rPr>
          <w:b/>
          <w:bCs/>
          <w:sz w:val="28"/>
          <w:szCs w:val="28"/>
        </w:rPr>
        <w:t>2</w:t>
      </w:r>
      <w:r w:rsidR="00AF568B">
        <w:rPr>
          <w:b/>
          <w:bCs/>
          <w:sz w:val="28"/>
          <w:szCs w:val="28"/>
        </w:rPr>
        <w:t xml:space="preserve">, за </w:t>
      </w:r>
      <w:r w:rsidR="00E42D06">
        <w:rPr>
          <w:b/>
          <w:bCs/>
          <w:sz w:val="28"/>
          <w:szCs w:val="28"/>
        </w:rPr>
        <w:t>201</w:t>
      </w:r>
      <w:r w:rsidR="002A22DB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B5324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324" w:rsidRDefault="002A22DB" w:rsidP="002A22DB">
            <w:pPr>
              <w:snapToGrid w:val="0"/>
              <w:ind w:left="57" w:right="57"/>
              <w:jc w:val="center"/>
            </w:pPr>
            <w:r>
              <w:t>13</w:t>
            </w:r>
            <w:r w:rsidR="008B5324">
              <w:t>.03.20</w:t>
            </w:r>
            <w:r>
              <w:t>20</w:t>
            </w:r>
          </w:p>
        </w:tc>
      </w:tr>
      <w:tr w:rsidR="008B532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324" w:rsidRDefault="008B5324" w:rsidP="002A22DB">
            <w:pPr>
              <w:snapToGrid w:val="0"/>
              <w:ind w:left="57" w:right="57"/>
              <w:jc w:val="center"/>
            </w:pPr>
            <w:r>
              <w:t>01.01.201</w:t>
            </w:r>
            <w:r w:rsidR="002A22DB">
              <w:t>9</w:t>
            </w:r>
          </w:p>
        </w:tc>
      </w:tr>
      <w:tr w:rsidR="008B532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324" w:rsidRDefault="008B532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324" w:rsidRDefault="008B5324" w:rsidP="002A22DB">
            <w:pPr>
              <w:snapToGrid w:val="0"/>
              <w:ind w:left="57" w:right="57"/>
              <w:jc w:val="center"/>
            </w:pPr>
            <w:r>
              <w:t>31.12.201</w:t>
            </w:r>
            <w:r w:rsidR="002A22DB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675B25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A22DB" w:rsidP="00A74A7B">
            <w:pPr>
              <w:snapToGrid w:val="0"/>
              <w:ind w:left="57" w:right="57"/>
              <w:jc w:val="center"/>
            </w:pPr>
            <w:r>
              <w:t>3405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60698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39381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9092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12225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79998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47932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A22DB" w:rsidP="00A74A7B">
            <w:pPr>
              <w:snapToGrid w:val="0"/>
              <w:ind w:left="57" w:right="57"/>
              <w:jc w:val="center"/>
            </w:pPr>
            <w:r>
              <w:t>32066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A74A7B">
            <w:pPr>
              <w:snapToGrid w:val="0"/>
              <w:ind w:left="57" w:right="57"/>
              <w:jc w:val="center"/>
            </w:pPr>
            <w:r>
              <w:t>76593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35C28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42D06" w:rsidRDefault="00E42D06" w:rsidP="00235C28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235C28">
            <w:pPr>
              <w:snapToGrid w:val="0"/>
              <w:ind w:left="57" w:right="57"/>
              <w:jc w:val="center"/>
            </w:pPr>
            <w:r>
              <w:t>54168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75B25" w:rsidRDefault="002A22DB" w:rsidP="00235C28">
            <w:pPr>
              <w:snapToGrid w:val="0"/>
              <w:ind w:left="57" w:right="57"/>
              <w:jc w:val="center"/>
            </w:pPr>
            <w:r>
              <w:t>130761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2A22DB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2A22DB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Default="00235C28" w:rsidP="0025765D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Default="00235C28" w:rsidP="0025765D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Default="00235C28" w:rsidP="0025765D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235C28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35C28" w:rsidRDefault="00235C28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Pr="00675B25" w:rsidRDefault="00145460" w:rsidP="00235C2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235C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Pr="00675B25" w:rsidRDefault="00145460" w:rsidP="00235C2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235C28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5C28" w:rsidRDefault="00235C28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C28" w:rsidRPr="00675B25" w:rsidRDefault="00C27D06" w:rsidP="00235C2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D3" w:rsidRDefault="00DC25D3">
      <w:r>
        <w:separator/>
      </w:r>
    </w:p>
  </w:endnote>
  <w:endnote w:type="continuationSeparator" w:id="0">
    <w:p w:rsidR="00DC25D3" w:rsidRDefault="00DC25D3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D3" w:rsidRDefault="00DC25D3">
      <w:r>
        <w:separator/>
      </w:r>
    </w:p>
  </w:footnote>
  <w:footnote w:type="continuationSeparator" w:id="0">
    <w:p w:rsidR="00DC25D3" w:rsidRDefault="00DC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670C7"/>
    <w:rsid w:val="000A4997"/>
    <w:rsid w:val="000B7C10"/>
    <w:rsid w:val="000D1330"/>
    <w:rsid w:val="0012745E"/>
    <w:rsid w:val="00145460"/>
    <w:rsid w:val="00192335"/>
    <w:rsid w:val="001E2790"/>
    <w:rsid w:val="00235C28"/>
    <w:rsid w:val="0025765D"/>
    <w:rsid w:val="002A22DB"/>
    <w:rsid w:val="002C7EC8"/>
    <w:rsid w:val="002F46D1"/>
    <w:rsid w:val="003046F1"/>
    <w:rsid w:val="00467FBE"/>
    <w:rsid w:val="00497C7D"/>
    <w:rsid w:val="004E33EF"/>
    <w:rsid w:val="004F5C24"/>
    <w:rsid w:val="00561503"/>
    <w:rsid w:val="00596084"/>
    <w:rsid w:val="00611442"/>
    <w:rsid w:val="00617938"/>
    <w:rsid w:val="00661647"/>
    <w:rsid w:val="00664DD5"/>
    <w:rsid w:val="00675B25"/>
    <w:rsid w:val="006F3178"/>
    <w:rsid w:val="00732647"/>
    <w:rsid w:val="00796D16"/>
    <w:rsid w:val="007C2633"/>
    <w:rsid w:val="007E0679"/>
    <w:rsid w:val="00810D6D"/>
    <w:rsid w:val="008154E3"/>
    <w:rsid w:val="008A4A0F"/>
    <w:rsid w:val="008B142E"/>
    <w:rsid w:val="008B5324"/>
    <w:rsid w:val="008F5EA3"/>
    <w:rsid w:val="0092027E"/>
    <w:rsid w:val="009C18CF"/>
    <w:rsid w:val="009D611A"/>
    <w:rsid w:val="009E7B34"/>
    <w:rsid w:val="00A22F48"/>
    <w:rsid w:val="00A54FBF"/>
    <w:rsid w:val="00A74A7B"/>
    <w:rsid w:val="00A94960"/>
    <w:rsid w:val="00AB7B93"/>
    <w:rsid w:val="00AC13D2"/>
    <w:rsid w:val="00AE437B"/>
    <w:rsid w:val="00AF568B"/>
    <w:rsid w:val="00B0488E"/>
    <w:rsid w:val="00BA3F1E"/>
    <w:rsid w:val="00BC4557"/>
    <w:rsid w:val="00BF3EF5"/>
    <w:rsid w:val="00C27D06"/>
    <w:rsid w:val="00C81BB7"/>
    <w:rsid w:val="00C9624E"/>
    <w:rsid w:val="00CB46DC"/>
    <w:rsid w:val="00D00AE6"/>
    <w:rsid w:val="00D02342"/>
    <w:rsid w:val="00D350BE"/>
    <w:rsid w:val="00D95F5B"/>
    <w:rsid w:val="00DB0D48"/>
    <w:rsid w:val="00DB1350"/>
    <w:rsid w:val="00DC25D3"/>
    <w:rsid w:val="00E42D06"/>
    <w:rsid w:val="00E4412E"/>
    <w:rsid w:val="00EB4830"/>
    <w:rsid w:val="00F03EA5"/>
    <w:rsid w:val="00F23DFD"/>
    <w:rsid w:val="00F41BF5"/>
    <w:rsid w:val="00F515CF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405E-CBBC-425E-9966-05924464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2020-03-18T12:28:00Z</dcterms:created>
  <dcterms:modified xsi:type="dcterms:W3CDTF">2020-03-18T12:28:00Z</dcterms:modified>
</cp:coreProperties>
</file>